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73" w:rsidRPr="00833989" w:rsidRDefault="003A01C3" w:rsidP="007A4773">
      <w:pPr>
        <w:jc w:val="center"/>
        <w:rPr>
          <w:rFonts w:ascii="Arial" w:hAnsi="Arial" w:cs="Arial"/>
          <w:b/>
        </w:rPr>
      </w:pPr>
      <w:r w:rsidRPr="00833989">
        <w:rPr>
          <w:rFonts w:ascii="Arial" w:hAnsi="Arial" w:cs="Arial"/>
          <w:b/>
        </w:rPr>
        <w:t>FLORENCE PARK COMMUNITY ASSOCIATION</w:t>
      </w:r>
      <w:r w:rsidR="007A4773" w:rsidRPr="00833989">
        <w:rPr>
          <w:rFonts w:ascii="Arial" w:hAnsi="Arial" w:cs="Arial"/>
          <w:b/>
        </w:rPr>
        <w:t xml:space="preserve"> </w:t>
      </w:r>
    </w:p>
    <w:p w:rsidR="006F7101" w:rsidRDefault="006C4180" w:rsidP="007A47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AGM – 20</w:t>
      </w:r>
      <w:r w:rsidRPr="006C418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2017</w:t>
      </w:r>
      <w:r w:rsidR="006F7101">
        <w:rPr>
          <w:rFonts w:ascii="Arial" w:hAnsi="Arial" w:cs="Arial"/>
          <w:b/>
        </w:rPr>
        <w:t xml:space="preserve"> </w:t>
      </w:r>
      <w:r w:rsidR="007A4773" w:rsidRPr="00833989">
        <w:rPr>
          <w:rFonts w:ascii="Arial" w:hAnsi="Arial" w:cs="Arial"/>
          <w:b/>
        </w:rPr>
        <w:t xml:space="preserve"> </w:t>
      </w:r>
    </w:p>
    <w:p w:rsidR="007A4773" w:rsidRDefault="007A4773" w:rsidP="007A4773">
      <w:pPr>
        <w:jc w:val="center"/>
        <w:rPr>
          <w:rFonts w:ascii="Arial" w:hAnsi="Arial" w:cs="Arial"/>
          <w:b/>
        </w:rPr>
      </w:pPr>
      <w:r w:rsidRPr="00833989">
        <w:rPr>
          <w:rFonts w:ascii="Arial" w:hAnsi="Arial" w:cs="Arial"/>
          <w:b/>
        </w:rPr>
        <w:t xml:space="preserve">TREASURER’S REPORT </w:t>
      </w:r>
    </w:p>
    <w:p w:rsidR="00285347" w:rsidRPr="00833989" w:rsidRDefault="00867657" w:rsidP="00536EE4">
      <w:pPr>
        <w:spacing w:after="120"/>
        <w:rPr>
          <w:rFonts w:ascii="Arial" w:hAnsi="Arial" w:cs="Arial"/>
          <w:b/>
        </w:rPr>
      </w:pPr>
      <w:r w:rsidRPr="00833989">
        <w:rPr>
          <w:rFonts w:ascii="Arial" w:hAnsi="Arial" w:cs="Arial"/>
          <w:b/>
        </w:rPr>
        <w:t>INCOME</w:t>
      </w:r>
    </w:p>
    <w:p w:rsidR="00902620" w:rsidRDefault="00093C31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Our annual income for 2016 was £32,709</w:t>
      </w:r>
      <w:r w:rsidR="00E31D78">
        <w:rPr>
          <w:rFonts w:ascii="Arial" w:hAnsi="Arial" w:cs="Arial"/>
        </w:rPr>
        <w:t xml:space="preserve">. </w:t>
      </w:r>
      <w:r w:rsidR="00C541DD">
        <w:rPr>
          <w:rFonts w:ascii="Arial" w:hAnsi="Arial" w:cs="Arial"/>
        </w:rPr>
        <w:t>Main items</w:t>
      </w:r>
      <w:r w:rsidR="00902620">
        <w:rPr>
          <w:rFonts w:ascii="Arial" w:hAnsi="Arial" w:cs="Arial"/>
        </w:rPr>
        <w:t xml:space="preserve"> (over £1,000 per annum) are:</w:t>
      </w:r>
    </w:p>
    <w:p w:rsidR="00902620" w:rsidRDefault="00902620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£15,818 Room hire</w:t>
      </w:r>
    </w:p>
    <w:p w:rsidR="00902620" w:rsidRDefault="00902620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£8,000 Rent from the Social Club</w:t>
      </w:r>
    </w:p>
    <w:p w:rsidR="00902620" w:rsidRDefault="00902620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£5,554 Net receipts from entertainments</w:t>
      </w:r>
    </w:p>
    <w:p w:rsidR="00902620" w:rsidRDefault="00902620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£1,139 Monthly café</w:t>
      </w:r>
    </w:p>
    <w:p w:rsidR="00902620" w:rsidRDefault="00902620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£1,000 grant (for decorating)</w:t>
      </w:r>
    </w:p>
    <w:p w:rsidR="00071415" w:rsidRPr="00833989" w:rsidRDefault="00071415" w:rsidP="00536EE4">
      <w:pPr>
        <w:spacing w:after="120"/>
        <w:rPr>
          <w:rFonts w:ascii="Arial" w:hAnsi="Arial" w:cs="Arial"/>
        </w:rPr>
      </w:pPr>
    </w:p>
    <w:p w:rsidR="00646BEC" w:rsidRPr="00833989" w:rsidRDefault="00646BEC" w:rsidP="00536EE4">
      <w:pPr>
        <w:spacing w:after="120"/>
        <w:rPr>
          <w:rFonts w:ascii="Arial" w:hAnsi="Arial" w:cs="Arial"/>
          <w:b/>
        </w:rPr>
      </w:pPr>
      <w:r w:rsidRPr="00833989">
        <w:rPr>
          <w:rFonts w:ascii="Arial" w:hAnsi="Arial" w:cs="Arial"/>
          <w:b/>
        </w:rPr>
        <w:t>EXPENDITURE</w:t>
      </w:r>
      <w:r w:rsidR="00103A90" w:rsidRPr="00833989">
        <w:rPr>
          <w:rFonts w:ascii="Arial" w:hAnsi="Arial" w:cs="Arial"/>
          <w:b/>
        </w:rPr>
        <w:t xml:space="preserve"> </w:t>
      </w:r>
    </w:p>
    <w:p w:rsidR="00965463" w:rsidRDefault="00E31D78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Our annual expenses were £30,645. </w:t>
      </w:r>
      <w:r w:rsidR="00C541DD">
        <w:rPr>
          <w:rFonts w:ascii="Arial" w:hAnsi="Arial" w:cs="Arial"/>
        </w:rPr>
        <w:t>Main items</w:t>
      </w:r>
      <w:r w:rsidR="00965463">
        <w:rPr>
          <w:rFonts w:ascii="Arial" w:hAnsi="Arial" w:cs="Arial"/>
        </w:rPr>
        <w:t xml:space="preserve"> </w:t>
      </w:r>
      <w:r w:rsidR="00902620">
        <w:rPr>
          <w:rFonts w:ascii="Arial" w:hAnsi="Arial" w:cs="Arial"/>
        </w:rPr>
        <w:t xml:space="preserve">(over £1,000 per annum) </w:t>
      </w:r>
      <w:r w:rsidR="00965463">
        <w:rPr>
          <w:rFonts w:ascii="Arial" w:hAnsi="Arial" w:cs="Arial"/>
        </w:rPr>
        <w:t xml:space="preserve">are: </w:t>
      </w:r>
    </w:p>
    <w:p w:rsidR="00965463" w:rsidRDefault="00965463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£9,490 Centre manager</w:t>
      </w:r>
    </w:p>
    <w:p w:rsidR="00965463" w:rsidRDefault="00965463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£6,836 Cleaning</w:t>
      </w:r>
    </w:p>
    <w:p w:rsidR="00965463" w:rsidRDefault="00965463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£6,750 Running costs (Electricity, </w:t>
      </w:r>
      <w:r w:rsidR="00902620">
        <w:rPr>
          <w:rFonts w:ascii="Arial" w:hAnsi="Arial" w:cs="Arial"/>
        </w:rPr>
        <w:t>gas water and rates)</w:t>
      </w:r>
    </w:p>
    <w:p w:rsidR="00902620" w:rsidRDefault="00902620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£2,970 Over 60s lunch club coordinator</w:t>
      </w:r>
    </w:p>
    <w:p w:rsidR="00902620" w:rsidRDefault="00902620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£1,816 Insurance</w:t>
      </w:r>
    </w:p>
    <w:p w:rsidR="00902620" w:rsidRDefault="00902620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£1.003 TV and other </w:t>
      </w:r>
      <w:r w:rsidR="00C541DD">
        <w:rPr>
          <w:rFonts w:ascii="Arial" w:hAnsi="Arial" w:cs="Arial"/>
        </w:rPr>
        <w:t>licenc</w:t>
      </w:r>
      <w:r>
        <w:rPr>
          <w:rFonts w:ascii="Arial" w:hAnsi="Arial" w:cs="Arial"/>
        </w:rPr>
        <w:t>es</w:t>
      </w:r>
    </w:p>
    <w:p w:rsidR="00965463" w:rsidRDefault="00965463" w:rsidP="00536EE4">
      <w:pPr>
        <w:spacing w:after="120"/>
        <w:rPr>
          <w:rFonts w:ascii="Arial" w:hAnsi="Arial" w:cs="Arial"/>
        </w:rPr>
      </w:pPr>
    </w:p>
    <w:p w:rsidR="00902620" w:rsidRDefault="00902620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OVERALL</w:t>
      </w:r>
    </w:p>
    <w:p w:rsidR="00C541DD" w:rsidRDefault="00902620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Our annual income </w:t>
      </w:r>
      <w:r w:rsidR="004E6963">
        <w:rPr>
          <w:rFonts w:ascii="Arial" w:hAnsi="Arial" w:cs="Arial"/>
        </w:rPr>
        <w:t xml:space="preserve">increased by about £2,000 and </w:t>
      </w:r>
      <w:r>
        <w:rPr>
          <w:rFonts w:ascii="Arial" w:hAnsi="Arial" w:cs="Arial"/>
        </w:rPr>
        <w:t>exceeded our annual expenses by £</w:t>
      </w:r>
      <w:r w:rsidR="00311BAF">
        <w:rPr>
          <w:rFonts w:ascii="Arial" w:hAnsi="Arial" w:cs="Arial"/>
        </w:rPr>
        <w:t>2,064</w:t>
      </w:r>
      <w:r w:rsidR="00C541DD">
        <w:rPr>
          <w:rFonts w:ascii="Arial" w:hAnsi="Arial" w:cs="Arial"/>
        </w:rPr>
        <w:t>. There are two main sources for this increase.</w:t>
      </w:r>
    </w:p>
    <w:p w:rsidR="00C541DD" w:rsidRDefault="00C541DD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Firstly, our very full programme of entertainments, including the very successful pantomime and related events.</w:t>
      </w:r>
    </w:p>
    <w:p w:rsidR="00833989" w:rsidRDefault="00C541DD" w:rsidP="00536E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Secondly, t</w:t>
      </w:r>
      <w:r w:rsidR="00311BAF">
        <w:rPr>
          <w:rFonts w:ascii="Arial" w:hAnsi="Arial" w:cs="Arial"/>
        </w:rPr>
        <w:t xml:space="preserve">he very popular monthly café which is now running on a regular basis. NB: most of the income from the café </w:t>
      </w:r>
      <w:r>
        <w:rPr>
          <w:rFonts w:ascii="Arial" w:hAnsi="Arial" w:cs="Arial"/>
        </w:rPr>
        <w:t>was</w:t>
      </w:r>
      <w:r w:rsidR="00311BAF">
        <w:rPr>
          <w:rFonts w:ascii="Arial" w:hAnsi="Arial" w:cs="Arial"/>
        </w:rPr>
        <w:t xml:space="preserve"> generated over the last six months of the year, therefore we can anticipate an even greater annual income </w:t>
      </w:r>
      <w:r w:rsidR="004E6963">
        <w:rPr>
          <w:rFonts w:ascii="Arial" w:hAnsi="Arial" w:cs="Arial"/>
        </w:rPr>
        <w:t xml:space="preserve">from the café </w:t>
      </w:r>
      <w:r w:rsidR="00311BAF">
        <w:rPr>
          <w:rFonts w:ascii="Arial" w:hAnsi="Arial" w:cs="Arial"/>
        </w:rPr>
        <w:t>for the whole of 2017.</w:t>
      </w:r>
    </w:p>
    <w:p w:rsidR="00C83C3A" w:rsidRDefault="00C83C3A" w:rsidP="00536EE4">
      <w:pPr>
        <w:spacing w:after="120"/>
        <w:rPr>
          <w:rFonts w:ascii="Arial" w:hAnsi="Arial" w:cs="Arial"/>
        </w:rPr>
      </w:pPr>
    </w:p>
    <w:p w:rsidR="008F6FF1" w:rsidRDefault="00550BFE" w:rsidP="00536EE4">
      <w:pPr>
        <w:spacing w:after="120"/>
        <w:rPr>
          <w:rFonts w:ascii="Arial" w:hAnsi="Arial" w:cs="Arial"/>
        </w:rPr>
      </w:pPr>
      <w:r w:rsidRPr="00833989">
        <w:rPr>
          <w:rFonts w:ascii="Arial" w:hAnsi="Arial" w:cs="Arial"/>
        </w:rPr>
        <w:t>Viv P</w:t>
      </w:r>
      <w:r w:rsidR="00902620">
        <w:rPr>
          <w:rFonts w:ascii="Arial" w:hAnsi="Arial" w:cs="Arial"/>
        </w:rPr>
        <w:t>eto, Treasurer, FPCA, March 2017</w:t>
      </w:r>
    </w:p>
    <w:p w:rsidR="004E6963" w:rsidRDefault="004E6963" w:rsidP="00536EE4">
      <w:pPr>
        <w:spacing w:after="120"/>
        <w:rPr>
          <w:rFonts w:ascii="Arial" w:hAnsi="Arial" w:cs="Arial"/>
        </w:rPr>
      </w:pPr>
    </w:p>
    <w:p w:rsidR="002C7AA4" w:rsidRDefault="00C83C3A" w:rsidP="002C7AA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NB: </w:t>
      </w:r>
      <w:r w:rsidR="004E6963">
        <w:rPr>
          <w:rFonts w:ascii="Arial" w:hAnsi="Arial" w:cs="Arial"/>
          <w:b/>
        </w:rPr>
        <w:t xml:space="preserve">AUDITTED </w:t>
      </w:r>
      <w:r>
        <w:rPr>
          <w:rFonts w:ascii="Arial" w:hAnsi="Arial" w:cs="Arial"/>
          <w:b/>
        </w:rPr>
        <w:t>ANNUAL ACCOUNTS.</w:t>
      </w:r>
      <w:r>
        <w:rPr>
          <w:rFonts w:ascii="Arial" w:hAnsi="Arial" w:cs="Arial"/>
        </w:rPr>
        <w:t xml:space="preserve">  On </w:t>
      </w:r>
      <w:r w:rsidR="00EE7A18">
        <w:rPr>
          <w:rFonts w:ascii="Arial" w:hAnsi="Arial" w:cs="Arial"/>
        </w:rPr>
        <w:t xml:space="preserve">the Income and Expenditure page of </w:t>
      </w:r>
      <w:r>
        <w:rPr>
          <w:rFonts w:ascii="Arial" w:hAnsi="Arial" w:cs="Arial"/>
        </w:rPr>
        <w:t xml:space="preserve">the </w:t>
      </w:r>
      <w:r w:rsidR="004E6963">
        <w:rPr>
          <w:rFonts w:ascii="Arial" w:hAnsi="Arial" w:cs="Arial"/>
        </w:rPr>
        <w:t>audited accounts from the accountant</w:t>
      </w:r>
      <w:r w:rsidR="00EE7A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first two columns show </w:t>
      </w:r>
      <w:r w:rsidR="00EE7A18">
        <w:rPr>
          <w:rFonts w:ascii="Arial" w:hAnsi="Arial" w:cs="Arial"/>
        </w:rPr>
        <w:t xml:space="preserve">annual figures for </w:t>
      </w:r>
      <w:r>
        <w:rPr>
          <w:rFonts w:ascii="Arial" w:hAnsi="Arial" w:cs="Arial"/>
        </w:rPr>
        <w:t>2</w:t>
      </w:r>
      <w:r w:rsidR="00EE7A18">
        <w:rPr>
          <w:rFonts w:ascii="Arial" w:hAnsi="Arial" w:cs="Arial"/>
        </w:rPr>
        <w:t>017, and 2016. The third column</w:t>
      </w:r>
      <w:r>
        <w:rPr>
          <w:rFonts w:ascii="Arial" w:hAnsi="Arial" w:cs="Arial"/>
        </w:rPr>
        <w:t xml:space="preserve"> show</w:t>
      </w:r>
      <w:r w:rsidR="00EE7A1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only the last 9 months of 2016 as presented at last year’s AGM. </w:t>
      </w:r>
    </w:p>
    <w:p w:rsidR="00D3582F" w:rsidRPr="002C7AA4" w:rsidRDefault="004E6963" w:rsidP="002C7A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Details of</w:t>
      </w:r>
      <w:r w:rsidR="00EE4C7F">
        <w:rPr>
          <w:rFonts w:ascii="Arial" w:hAnsi="Arial" w:cs="Arial"/>
          <w:b/>
          <w:sz w:val="20"/>
          <w:szCs w:val="20"/>
        </w:rPr>
        <w:t xml:space="preserve"> g</w:t>
      </w:r>
      <w:r w:rsidR="00513A24" w:rsidRPr="00951172">
        <w:rPr>
          <w:rFonts w:ascii="Arial" w:hAnsi="Arial" w:cs="Arial"/>
          <w:b/>
          <w:sz w:val="20"/>
          <w:szCs w:val="20"/>
        </w:rPr>
        <w:t>rants</w:t>
      </w:r>
      <w:r>
        <w:rPr>
          <w:rFonts w:ascii="Arial" w:hAnsi="Arial" w:cs="Arial"/>
          <w:b/>
          <w:sz w:val="20"/>
          <w:szCs w:val="20"/>
        </w:rPr>
        <w:t xml:space="preserve"> / ring-fenced money</w:t>
      </w:r>
      <w:r w:rsidR="00513A24" w:rsidRPr="00951172">
        <w:rPr>
          <w:rFonts w:ascii="Arial" w:hAnsi="Arial" w:cs="Arial"/>
          <w:b/>
          <w:sz w:val="20"/>
          <w:szCs w:val="20"/>
        </w:rPr>
        <w:t xml:space="preserve"> </w:t>
      </w:r>
      <w:r w:rsidR="001628AE" w:rsidRPr="00951172">
        <w:rPr>
          <w:rFonts w:ascii="Arial" w:hAnsi="Arial" w:cs="Arial"/>
          <w:b/>
          <w:sz w:val="20"/>
          <w:szCs w:val="20"/>
        </w:rPr>
        <w:t>spent</w:t>
      </w:r>
      <w:r w:rsidR="00513A24" w:rsidRPr="009511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 2016</w:t>
      </w:r>
    </w:p>
    <w:p w:rsidR="000D118E" w:rsidRPr="00951172" w:rsidRDefault="000D118E" w:rsidP="00887A96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215"/>
        <w:gridCol w:w="1631"/>
        <w:gridCol w:w="425"/>
        <w:gridCol w:w="179"/>
        <w:gridCol w:w="1664"/>
        <w:gridCol w:w="1417"/>
      </w:tblGrid>
      <w:tr w:rsidR="00887A96" w:rsidRPr="00951172" w:rsidTr="00B12386"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AE" w:rsidRPr="00951172" w:rsidRDefault="001628AE" w:rsidP="00887A9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172">
              <w:rPr>
                <w:rFonts w:ascii="Arial" w:hAnsi="Arial" w:cs="Arial"/>
                <w:b/>
                <w:sz w:val="20"/>
                <w:szCs w:val="20"/>
              </w:rPr>
              <w:t>Activity grants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AE" w:rsidRPr="00951172" w:rsidRDefault="001628AE" w:rsidP="00887A9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11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Amount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AE" w:rsidRPr="00951172" w:rsidRDefault="001628AE" w:rsidP="00887A9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11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Grant from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AE" w:rsidRPr="00951172" w:rsidRDefault="00E04E92" w:rsidP="00887A9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Spent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8AE" w:rsidRPr="00951172" w:rsidRDefault="001628AE" w:rsidP="00887A9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1172">
              <w:rPr>
                <w:rFonts w:ascii="Arial" w:hAnsi="Arial" w:cs="Arial"/>
                <w:b/>
                <w:sz w:val="20"/>
                <w:szCs w:val="20"/>
              </w:rPr>
              <w:t>Remaining</w:t>
            </w:r>
          </w:p>
        </w:tc>
      </w:tr>
      <w:tr w:rsidR="00802B13" w:rsidRPr="00951172" w:rsidTr="005952A1">
        <w:trPr>
          <w:trHeight w:val="385"/>
        </w:trPr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802B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Coordinator for the over 60's lunch club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13" w:rsidRPr="000D118E" w:rsidRDefault="00E04E92" w:rsidP="00E9465E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</w:t>
            </w:r>
            <w:r w:rsidR="00E9465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860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13" w:rsidRPr="00951172" w:rsidRDefault="00E04E92" w:rsidP="00802B1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FPCA Café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E04E9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172">
              <w:rPr>
                <w:rFonts w:ascii="Arial" w:hAnsi="Arial" w:cs="Arial"/>
                <w:sz w:val="20"/>
                <w:szCs w:val="20"/>
              </w:rPr>
              <w:t>£</w:t>
            </w:r>
            <w:r w:rsidR="00E04E92">
              <w:rPr>
                <w:rFonts w:ascii="Arial" w:hAnsi="Arial" w:cs="Arial"/>
                <w:sz w:val="20"/>
                <w:szCs w:val="20"/>
              </w:rPr>
              <w:t>685</w:t>
            </w:r>
            <w:r w:rsidRPr="009511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E9465E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172">
              <w:rPr>
                <w:rFonts w:ascii="Arial" w:hAnsi="Arial" w:cs="Arial"/>
                <w:sz w:val="20"/>
                <w:szCs w:val="20"/>
              </w:rPr>
              <w:t>£</w:t>
            </w:r>
            <w:r w:rsidR="00E9465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802B13" w:rsidRPr="00951172" w:rsidTr="005952A1">
        <w:trPr>
          <w:trHeight w:val="385"/>
        </w:trPr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802B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Food</w:t>
            </w: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for the over 60's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lunch club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13" w:rsidRPr="00951172" w:rsidRDefault="00E04E92" w:rsidP="00E04E92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£2</w:t>
            </w:r>
            <w:r w:rsidR="00802B13"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50</w:t>
            </w:r>
            <w:r w:rsidR="00802B1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13" w:rsidRPr="000D118E" w:rsidRDefault="00802B13" w:rsidP="00802B13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D118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Sainsbury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13" w:rsidRPr="000D118E" w:rsidRDefault="00802B13" w:rsidP="00E04E9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18E">
              <w:rPr>
                <w:rFonts w:ascii="Arial" w:hAnsi="Arial" w:cs="Arial"/>
                <w:sz w:val="20"/>
                <w:szCs w:val="20"/>
              </w:rPr>
              <w:t>£</w:t>
            </w:r>
            <w:r w:rsidR="00E04E9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13" w:rsidRPr="000D118E" w:rsidRDefault="00802B13" w:rsidP="00E04E9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18E">
              <w:rPr>
                <w:rFonts w:ascii="Arial" w:hAnsi="Arial" w:cs="Arial"/>
                <w:sz w:val="20"/>
                <w:szCs w:val="20"/>
              </w:rPr>
              <w:t>£1</w:t>
            </w:r>
            <w:r w:rsidR="00E04E9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9465E" w:rsidRPr="00951172" w:rsidTr="00B12386"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5E" w:rsidRPr="00951172" w:rsidRDefault="00E9465E" w:rsidP="00802B13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Over 60s lunch club activities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5E" w:rsidRPr="00951172" w:rsidRDefault="004E1EF6" w:rsidP="00E04E92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£66</w:t>
            </w:r>
            <w:r w:rsidR="00F06B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5E" w:rsidRPr="00951172" w:rsidRDefault="00E9465E" w:rsidP="00802B13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Donated by the  members of Over 60s lunch club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5E" w:rsidRDefault="00F06BE7" w:rsidP="00802B13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65E" w:rsidRPr="00951172" w:rsidRDefault="00E9465E" w:rsidP="00802B13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389</w:t>
            </w:r>
          </w:p>
        </w:tc>
      </w:tr>
      <w:tr w:rsidR="00802B13" w:rsidRPr="00951172" w:rsidTr="00B12386"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802B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Pantomime expenses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E04E92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£350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802B1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Oxford City Council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802B1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802B13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£0</w:t>
            </w:r>
          </w:p>
        </w:tc>
      </w:tr>
      <w:tr w:rsidR="00802B13" w:rsidRPr="00951172" w:rsidTr="00B12386"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0D118E" w:rsidRDefault="004E6963" w:rsidP="00802B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0D118E" w:rsidRDefault="00894AB9" w:rsidP="00BC208D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£</w:t>
            </w:r>
            <w:r w:rsidR="004E1EF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2,12</w:t>
            </w:r>
            <w:bookmarkStart w:id="0" w:name="_GoBack"/>
            <w:bookmarkEnd w:id="0"/>
            <w:r w:rsidR="00BC208D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0D118E" w:rsidRDefault="00802B13" w:rsidP="00802B13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0D118E" w:rsidRDefault="00894AB9" w:rsidP="00BC208D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</w:t>
            </w:r>
            <w:r w:rsidR="00BC208D">
              <w:rPr>
                <w:rFonts w:ascii="Arial" w:hAnsi="Arial" w:cs="Arial"/>
                <w:b/>
                <w:sz w:val="20"/>
                <w:szCs w:val="20"/>
              </w:rPr>
              <w:t>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0D118E" w:rsidRDefault="00802B13" w:rsidP="00BC208D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0D118E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£</w:t>
            </w:r>
            <w:r w:rsidR="004E1EF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70</w:t>
            </w:r>
            <w:r w:rsidR="00BC208D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</w:t>
            </w:r>
          </w:p>
        </w:tc>
      </w:tr>
      <w:tr w:rsidR="00802B13" w:rsidRPr="00951172" w:rsidTr="00B12386"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13" w:rsidRDefault="00802B13" w:rsidP="00802B13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  <w:p w:rsidR="00802B13" w:rsidRDefault="00802B13" w:rsidP="00802B13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  <w:p w:rsidR="00802B13" w:rsidRPr="00951172" w:rsidRDefault="00802B13" w:rsidP="00802B13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13" w:rsidRPr="00951172" w:rsidRDefault="00802B13" w:rsidP="00802B13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13" w:rsidRPr="00951172" w:rsidRDefault="00802B13" w:rsidP="00802B13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13" w:rsidRPr="00951172" w:rsidRDefault="00802B13" w:rsidP="00802B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13" w:rsidRPr="00951172" w:rsidRDefault="00802B13" w:rsidP="00802B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B13" w:rsidRPr="00951172" w:rsidTr="00B12386"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802B13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95117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Maintenance or equipment grants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802B13">
            <w:pPr>
              <w:spacing w:after="1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9511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Amount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802B13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11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Grant from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951172" w:rsidRDefault="004E6963" w:rsidP="00802B13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Spent in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13" w:rsidRPr="00951172" w:rsidRDefault="00802B13" w:rsidP="00802B13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1172">
              <w:rPr>
                <w:rFonts w:ascii="Arial" w:hAnsi="Arial" w:cs="Arial"/>
                <w:b/>
                <w:sz w:val="20"/>
                <w:szCs w:val="20"/>
              </w:rPr>
              <w:t>Remaining</w:t>
            </w:r>
          </w:p>
        </w:tc>
      </w:tr>
      <w:tr w:rsidR="00802B13" w:rsidRPr="00951172" w:rsidTr="00B12386"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13" w:rsidRPr="00951172" w:rsidRDefault="00894AB9" w:rsidP="00802B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Decorating /</w:t>
            </w:r>
            <w:r w:rsidR="00802B1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equipment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13" w:rsidRPr="00951172" w:rsidRDefault="00894AB9" w:rsidP="00894AB9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£1,00</w:t>
            </w:r>
            <w:r w:rsidR="00802B13"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0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13" w:rsidRPr="00951172" w:rsidRDefault="00802B13" w:rsidP="00802B1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 Michael's &amp; All Saints Charities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13" w:rsidRPr="00951172" w:rsidRDefault="00802B13" w:rsidP="00894AB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</w:t>
            </w:r>
            <w:r w:rsidR="00894AB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13" w:rsidRPr="00951172" w:rsidRDefault="00802B13" w:rsidP="00802B13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</w:t>
            </w:r>
            <w:r w:rsidR="00894AB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1,00</w:t>
            </w: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</w:p>
        </w:tc>
      </w:tr>
      <w:tr w:rsidR="00894AB9" w:rsidRPr="00951172" w:rsidTr="00B12386"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Garden furniture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£1,000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Oxon Community Fund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1,000</w:t>
            </w: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£</w:t>
            </w:r>
            <w:r w:rsidRPr="009511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</w:p>
        </w:tc>
      </w:tr>
      <w:tr w:rsidR="00894AB9" w:rsidRPr="00894AB9" w:rsidTr="00B12386"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894AB9" w:rsidRDefault="00894AB9" w:rsidP="00894AB9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894AB9" w:rsidRDefault="00894AB9" w:rsidP="00894AB9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894AB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£2,000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894AB9" w:rsidRDefault="00894AB9" w:rsidP="00894AB9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894AB9" w:rsidRDefault="00894AB9" w:rsidP="00894AB9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894AB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£1.000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894AB9" w:rsidRDefault="00894AB9" w:rsidP="00894AB9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894AB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£1,000</w:t>
            </w:r>
          </w:p>
        </w:tc>
      </w:tr>
      <w:tr w:rsidR="00894AB9" w:rsidRPr="00951172" w:rsidTr="000D118E"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894AB9" w:rsidRPr="00951172" w:rsidTr="000D118E"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AB9" w:rsidRPr="00951172" w:rsidRDefault="00894AB9" w:rsidP="00894A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1162" w:rsidRPr="00951172" w:rsidRDefault="00641162" w:rsidP="00DB784C">
      <w:pPr>
        <w:spacing w:after="120"/>
        <w:rPr>
          <w:rFonts w:ascii="Arial" w:hAnsi="Arial" w:cs="Arial"/>
          <w:sz w:val="20"/>
          <w:szCs w:val="20"/>
        </w:rPr>
      </w:pPr>
    </w:p>
    <w:sectPr w:rsidR="00641162" w:rsidRPr="00951172" w:rsidSect="007A4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6684"/>
    <w:multiLevelType w:val="hybridMultilevel"/>
    <w:tmpl w:val="71043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045AB"/>
    <w:multiLevelType w:val="hybridMultilevel"/>
    <w:tmpl w:val="2CA29BD0"/>
    <w:lvl w:ilvl="0" w:tplc="F3E88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65994"/>
    <w:multiLevelType w:val="hybridMultilevel"/>
    <w:tmpl w:val="43962C6C"/>
    <w:lvl w:ilvl="0" w:tplc="86E455F8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62F8F"/>
    <w:multiLevelType w:val="hybridMultilevel"/>
    <w:tmpl w:val="175ED7FA"/>
    <w:lvl w:ilvl="0" w:tplc="AA5C3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0D"/>
    <w:rsid w:val="000064EE"/>
    <w:rsid w:val="000076D2"/>
    <w:rsid w:val="00012E2A"/>
    <w:rsid w:val="00042EE7"/>
    <w:rsid w:val="0006145F"/>
    <w:rsid w:val="00071415"/>
    <w:rsid w:val="00090A08"/>
    <w:rsid w:val="00093C31"/>
    <w:rsid w:val="00094C33"/>
    <w:rsid w:val="000D118E"/>
    <w:rsid w:val="000E41CA"/>
    <w:rsid w:val="00103A90"/>
    <w:rsid w:val="0010791E"/>
    <w:rsid w:val="001176B6"/>
    <w:rsid w:val="00144B53"/>
    <w:rsid w:val="00157040"/>
    <w:rsid w:val="001628AE"/>
    <w:rsid w:val="001E157D"/>
    <w:rsid w:val="001E7752"/>
    <w:rsid w:val="001F085F"/>
    <w:rsid w:val="001F5356"/>
    <w:rsid w:val="00244D92"/>
    <w:rsid w:val="00285347"/>
    <w:rsid w:val="0029300E"/>
    <w:rsid w:val="002C7AA4"/>
    <w:rsid w:val="00311BAF"/>
    <w:rsid w:val="003250B1"/>
    <w:rsid w:val="00344DC4"/>
    <w:rsid w:val="00374250"/>
    <w:rsid w:val="003A01C3"/>
    <w:rsid w:val="003B15CF"/>
    <w:rsid w:val="003B2F30"/>
    <w:rsid w:val="003E3898"/>
    <w:rsid w:val="003F60FB"/>
    <w:rsid w:val="00461A15"/>
    <w:rsid w:val="0049751A"/>
    <w:rsid w:val="00497EA6"/>
    <w:rsid w:val="004B18E1"/>
    <w:rsid w:val="004D4D75"/>
    <w:rsid w:val="004E1EF6"/>
    <w:rsid w:val="004E6963"/>
    <w:rsid w:val="00513A24"/>
    <w:rsid w:val="00536EE4"/>
    <w:rsid w:val="00550BFE"/>
    <w:rsid w:val="005718B8"/>
    <w:rsid w:val="00575817"/>
    <w:rsid w:val="00580B7D"/>
    <w:rsid w:val="00582116"/>
    <w:rsid w:val="005952A1"/>
    <w:rsid w:val="00595C9B"/>
    <w:rsid w:val="005E7CE6"/>
    <w:rsid w:val="005F5828"/>
    <w:rsid w:val="00601142"/>
    <w:rsid w:val="00621F79"/>
    <w:rsid w:val="006358E2"/>
    <w:rsid w:val="006409BC"/>
    <w:rsid w:val="00641162"/>
    <w:rsid w:val="00646BEC"/>
    <w:rsid w:val="0066081B"/>
    <w:rsid w:val="006756E9"/>
    <w:rsid w:val="00681B0A"/>
    <w:rsid w:val="00690D95"/>
    <w:rsid w:val="006A1BE7"/>
    <w:rsid w:val="006C4180"/>
    <w:rsid w:val="006C715E"/>
    <w:rsid w:val="006D5E47"/>
    <w:rsid w:val="006F7101"/>
    <w:rsid w:val="00732C5E"/>
    <w:rsid w:val="00740C0D"/>
    <w:rsid w:val="007664AF"/>
    <w:rsid w:val="0077146E"/>
    <w:rsid w:val="007A4773"/>
    <w:rsid w:val="007C0C5E"/>
    <w:rsid w:val="007D371B"/>
    <w:rsid w:val="007D6811"/>
    <w:rsid w:val="00802B13"/>
    <w:rsid w:val="00812332"/>
    <w:rsid w:val="0081761D"/>
    <w:rsid w:val="00833989"/>
    <w:rsid w:val="008375B3"/>
    <w:rsid w:val="0084047D"/>
    <w:rsid w:val="008433AA"/>
    <w:rsid w:val="0085500D"/>
    <w:rsid w:val="00864064"/>
    <w:rsid w:val="00867657"/>
    <w:rsid w:val="00867EB8"/>
    <w:rsid w:val="00871113"/>
    <w:rsid w:val="00877B75"/>
    <w:rsid w:val="00887A96"/>
    <w:rsid w:val="00894AB9"/>
    <w:rsid w:val="008B342B"/>
    <w:rsid w:val="008F6FF1"/>
    <w:rsid w:val="00902620"/>
    <w:rsid w:val="0091061E"/>
    <w:rsid w:val="009173C8"/>
    <w:rsid w:val="0092746A"/>
    <w:rsid w:val="00934670"/>
    <w:rsid w:val="00951172"/>
    <w:rsid w:val="00965463"/>
    <w:rsid w:val="009B5604"/>
    <w:rsid w:val="009C38B5"/>
    <w:rsid w:val="009F24D8"/>
    <w:rsid w:val="00A3059B"/>
    <w:rsid w:val="00A453F9"/>
    <w:rsid w:val="00A6477B"/>
    <w:rsid w:val="00A908C3"/>
    <w:rsid w:val="00A954FE"/>
    <w:rsid w:val="00AA1735"/>
    <w:rsid w:val="00AA5112"/>
    <w:rsid w:val="00AA581F"/>
    <w:rsid w:val="00AB2106"/>
    <w:rsid w:val="00AB7FC7"/>
    <w:rsid w:val="00AE581E"/>
    <w:rsid w:val="00B00B5D"/>
    <w:rsid w:val="00B02FC3"/>
    <w:rsid w:val="00B05953"/>
    <w:rsid w:val="00B12386"/>
    <w:rsid w:val="00B24232"/>
    <w:rsid w:val="00B41D6C"/>
    <w:rsid w:val="00BA6020"/>
    <w:rsid w:val="00BC208D"/>
    <w:rsid w:val="00BE3D86"/>
    <w:rsid w:val="00C31100"/>
    <w:rsid w:val="00C541DD"/>
    <w:rsid w:val="00C83C3A"/>
    <w:rsid w:val="00C95E12"/>
    <w:rsid w:val="00C95EDB"/>
    <w:rsid w:val="00C977F4"/>
    <w:rsid w:val="00CA64D5"/>
    <w:rsid w:val="00CA71A0"/>
    <w:rsid w:val="00CD0A12"/>
    <w:rsid w:val="00CD7B9C"/>
    <w:rsid w:val="00CF15EC"/>
    <w:rsid w:val="00D2107C"/>
    <w:rsid w:val="00D3582F"/>
    <w:rsid w:val="00D86A1D"/>
    <w:rsid w:val="00DB784C"/>
    <w:rsid w:val="00E04E92"/>
    <w:rsid w:val="00E053AE"/>
    <w:rsid w:val="00E13F5E"/>
    <w:rsid w:val="00E16969"/>
    <w:rsid w:val="00E26E80"/>
    <w:rsid w:val="00E31D78"/>
    <w:rsid w:val="00E437EA"/>
    <w:rsid w:val="00E55265"/>
    <w:rsid w:val="00E9465E"/>
    <w:rsid w:val="00E949BB"/>
    <w:rsid w:val="00EB2BD5"/>
    <w:rsid w:val="00EC0061"/>
    <w:rsid w:val="00EC3125"/>
    <w:rsid w:val="00EE4C7F"/>
    <w:rsid w:val="00EE7A18"/>
    <w:rsid w:val="00F03ED9"/>
    <w:rsid w:val="00F06BE7"/>
    <w:rsid w:val="00F30C57"/>
    <w:rsid w:val="00F5609D"/>
    <w:rsid w:val="00F81DFC"/>
    <w:rsid w:val="00F9093D"/>
    <w:rsid w:val="00F943A6"/>
    <w:rsid w:val="00FA1388"/>
    <w:rsid w:val="00FA5A36"/>
    <w:rsid w:val="00FB7939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040A6-4A71-40B9-9CCB-761D1562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Peto</dc:creator>
  <cp:keywords/>
  <dc:description/>
  <cp:lastModifiedBy>Viv</cp:lastModifiedBy>
  <cp:revision>5</cp:revision>
  <dcterms:created xsi:type="dcterms:W3CDTF">2017-03-08T11:23:00Z</dcterms:created>
  <dcterms:modified xsi:type="dcterms:W3CDTF">2017-03-08T14:44:00Z</dcterms:modified>
</cp:coreProperties>
</file>